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060B" w14:textId="77777777" w:rsidR="00B158EB" w:rsidRDefault="00B15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02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B158EB" w14:paraId="58DE93DA" w14:textId="77777777">
        <w:trPr>
          <w:trHeight w:val="1205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BD6E6" w14:textId="77777777" w:rsidR="00B158EB" w:rsidRDefault="00527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inline distT="114300" distB="114300" distL="114300" distR="114300" wp14:anchorId="63C475B7" wp14:editId="02E4E3A5">
                  <wp:extent cx="881063" cy="760918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760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FF59F" w14:textId="77777777" w:rsidR="00B158EB" w:rsidRDefault="00527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inline distT="0" distB="0" distL="0" distR="0" wp14:anchorId="21FDF594" wp14:editId="26C2F0EE">
                  <wp:extent cx="1047559" cy="112823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59" cy="1128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AE9C9" w14:textId="77777777" w:rsidR="00B158EB" w:rsidRDefault="00B158E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247AAD3" w14:textId="77777777" w:rsidR="00B158EB" w:rsidRDefault="00527F0D">
      <w:pPr>
        <w:spacing w:after="0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Communiqué de presse</w:t>
      </w:r>
    </w:p>
    <w:p w14:paraId="12711C39" w14:textId="77777777" w:rsidR="00B158EB" w:rsidRDefault="00527F0D">
      <w:pPr>
        <w:spacing w:after="0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Février 2022</w:t>
      </w:r>
    </w:p>
    <w:p w14:paraId="185479B3" w14:textId="77777777" w:rsidR="00B158EB" w:rsidRDefault="00B158EB">
      <w:pPr>
        <w:spacing w:after="0"/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7BCD7AFA" w14:textId="77777777" w:rsidR="00B158EB" w:rsidRDefault="00B158E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4F3B672" w14:textId="77777777" w:rsidR="00B158EB" w:rsidRDefault="00527F0D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Vicat et Béton Direct associent leurs expertises </w:t>
      </w:r>
    </w:p>
    <w:p w14:paraId="09ED1B93" w14:textId="08214345" w:rsidR="00B158EB" w:rsidRDefault="00527F0D" w:rsidP="00527F0D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pour développer les ventes en ligne de béton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prêt-à-l’emploi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</w:p>
    <w:p w14:paraId="68479052" w14:textId="77777777" w:rsidR="00B158EB" w:rsidRDefault="00B158EB">
      <w:pPr>
        <w:spacing w:after="0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56517E21" w14:textId="433E707F" w:rsidR="00B158EB" w:rsidRDefault="00527F0D">
      <w:pPr>
        <w:spacing w:after="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Depuis janvier 2022, Vicat, acteur de référence dans les matériaux de construction minéraux et </w:t>
      </w:r>
      <w:proofErr w:type="spellStart"/>
      <w:r>
        <w:rPr>
          <w:rFonts w:ascii="Century Gothic" w:eastAsia="Century Gothic" w:hAnsi="Century Gothic" w:cs="Century Gothic"/>
          <w:b/>
        </w:rPr>
        <w:t>biosourcés</w:t>
      </w:r>
      <w:proofErr w:type="spellEnd"/>
      <w:r>
        <w:rPr>
          <w:rFonts w:ascii="Century Gothic" w:eastAsia="Century Gothic" w:hAnsi="Century Gothic" w:cs="Century Gothic"/>
          <w:b/>
        </w:rPr>
        <w:t xml:space="preserve">, a rejoint </w:t>
      </w:r>
      <w:hyperlink r:id="rId7">
        <w:r>
          <w:rPr>
            <w:rFonts w:ascii="Century Gothic" w:eastAsia="Century Gothic" w:hAnsi="Century Gothic" w:cs="Century Gothic"/>
            <w:b/>
          </w:rPr>
          <w:t>Béton Direct</w:t>
        </w:r>
      </w:hyperlink>
      <w:r>
        <w:rPr>
          <w:rFonts w:ascii="Century Gothic" w:eastAsia="Century Gothic" w:hAnsi="Century Gothic" w:cs="Century Gothic"/>
          <w:b/>
        </w:rPr>
        <w:t xml:space="preserve">, plateforme numérique de vente en ligne de béton </w:t>
      </w:r>
      <w:proofErr w:type="spellStart"/>
      <w:r>
        <w:rPr>
          <w:rFonts w:ascii="Century Gothic" w:eastAsia="Century Gothic" w:hAnsi="Century Gothic" w:cs="Century Gothic"/>
          <w:b/>
        </w:rPr>
        <w:t>prêt-à-l’emploi</w:t>
      </w:r>
      <w:proofErr w:type="spellEnd"/>
      <w:r>
        <w:rPr>
          <w:rFonts w:ascii="Century Gothic" w:eastAsia="Century Gothic" w:hAnsi="Century Gothic" w:cs="Century Gothic"/>
          <w:b/>
        </w:rPr>
        <w:t xml:space="preserve"> destinée aux p</w:t>
      </w:r>
      <w:r>
        <w:rPr>
          <w:rFonts w:ascii="Century Gothic" w:eastAsia="Century Gothic" w:hAnsi="Century Gothic" w:cs="Century Gothic"/>
          <w:b/>
        </w:rPr>
        <w:t>articuliers. L’association de ces deux entreprises référentes représente une opportunité pour ces deux acteurs d’asseoir leurs positions respectives sur un marché en plein développement : celui des particuliers, à travers une technologie éprouvée de e-comm</w:t>
      </w:r>
      <w:r>
        <w:rPr>
          <w:rFonts w:ascii="Century Gothic" w:eastAsia="Century Gothic" w:hAnsi="Century Gothic" w:cs="Century Gothic"/>
          <w:b/>
        </w:rPr>
        <w:t>erce.</w:t>
      </w:r>
    </w:p>
    <w:p w14:paraId="0F60A670" w14:textId="77777777" w:rsidR="00B158EB" w:rsidRDefault="00B1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9DDC020" w14:textId="77777777" w:rsidR="00B158EB" w:rsidRDefault="00527F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Une ambition : accompagner la couverture nationale de Béton Direct</w:t>
      </w:r>
    </w:p>
    <w:p w14:paraId="1B205043" w14:textId="77777777" w:rsidR="00B158EB" w:rsidRDefault="00B158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</w:p>
    <w:p w14:paraId="41B3DC80" w14:textId="77777777" w:rsidR="00B158EB" w:rsidRDefault="00527F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highlight w:val="yellow"/>
        </w:rPr>
      </w:pPr>
      <w:r>
        <w:rPr>
          <w:rFonts w:ascii="Century Gothic" w:eastAsia="Century Gothic" w:hAnsi="Century Gothic" w:cs="Century Gothic"/>
          <w:b/>
        </w:rPr>
        <w:t xml:space="preserve">Julien </w:t>
      </w:r>
      <w:proofErr w:type="spellStart"/>
      <w:r>
        <w:rPr>
          <w:rFonts w:ascii="Century Gothic" w:eastAsia="Century Gothic" w:hAnsi="Century Gothic" w:cs="Century Gothic"/>
          <w:b/>
        </w:rPr>
        <w:t>Lebourgeois</w:t>
      </w:r>
      <w:proofErr w:type="spellEnd"/>
      <w:r>
        <w:rPr>
          <w:rFonts w:ascii="Century Gothic" w:eastAsia="Century Gothic" w:hAnsi="Century Gothic" w:cs="Century Gothic"/>
          <w:b/>
        </w:rPr>
        <w:t>, Président de Béton direct, explique </w:t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  <w:i/>
        </w:rPr>
        <w:t>« Notre ambition est de poursuivre et de développer la collaboration avec les producteurs-partenaires actuels de Béton Direct, tout en renforçant le référencement de la marque de e-commerce sur l’ensemble du territoire hexagonal. Avec une couverture géogra</w:t>
      </w:r>
      <w:r>
        <w:rPr>
          <w:rFonts w:ascii="Century Gothic" w:eastAsia="Century Gothic" w:hAnsi="Century Gothic" w:cs="Century Gothic"/>
          <w:i/>
        </w:rPr>
        <w:t xml:space="preserve">phique plus importante, Béton Direct pourra accompagner la croissance de la demande des particuliers. » </w:t>
      </w:r>
    </w:p>
    <w:p w14:paraId="2C1F0340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3CCC858B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Béton Direct, une plateforme indépendante complémentaire aux activités du groupe Vicat</w:t>
      </w:r>
    </w:p>
    <w:p w14:paraId="0D2BF06E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69B351A6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  <w:i/>
        </w:rPr>
        <w:t xml:space="preserve">Didier </w:t>
      </w:r>
      <w:proofErr w:type="spellStart"/>
      <w:r>
        <w:rPr>
          <w:rFonts w:ascii="Century Gothic" w:eastAsia="Century Gothic" w:hAnsi="Century Gothic" w:cs="Century Gothic"/>
          <w:b/>
          <w:i/>
        </w:rPr>
        <w:t>Petetin</w:t>
      </w:r>
      <w:proofErr w:type="spellEnd"/>
      <w:r>
        <w:rPr>
          <w:rFonts w:ascii="Century Gothic" w:eastAsia="Century Gothic" w:hAnsi="Century Gothic" w:cs="Century Gothic"/>
          <w:b/>
          <w:i/>
        </w:rPr>
        <w:t xml:space="preserve">, Directeur-général délégué du groupe Vicat, précise </w:t>
      </w:r>
      <w:r>
        <w:rPr>
          <w:rFonts w:ascii="Century Gothic" w:eastAsia="Century Gothic" w:hAnsi="Century Gothic" w:cs="Century Gothic"/>
          <w:i/>
        </w:rPr>
        <w:t>« le rapprochement avec Béton Direct, proche de nos valeurs, est une opportunité de renforcer notre a</w:t>
      </w:r>
      <w:r>
        <w:rPr>
          <w:rFonts w:ascii="Century Gothic" w:eastAsia="Century Gothic" w:hAnsi="Century Gothic" w:cs="Century Gothic"/>
          <w:i/>
        </w:rPr>
        <w:t>ncrage territorial, de développer les activités de Vicat et de ses partenaires auprès des particuliers en s’appuyant sur la force et l’expertise de nos réseaux historiques ».</w:t>
      </w:r>
    </w:p>
    <w:p w14:paraId="1F503528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  <w:i/>
        </w:rPr>
      </w:pPr>
    </w:p>
    <w:p w14:paraId="63140FED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  <w:i/>
        </w:rPr>
      </w:pPr>
    </w:p>
    <w:p w14:paraId="13B3F37B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79907D3D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À propos de Vicat :</w:t>
      </w:r>
    </w:p>
    <w:p w14:paraId="372178E8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Depuis près de 200 ans, Vicat est un acteur industriel de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référence dans le domaine des matériaux de construction minéraux et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biosourcés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 Engagée sur une trajectoire de neutralité carbone sur sa chaîne de valeur d’ici à 2050, l’entreprise familiale (cotée en bourse) exerce aujourd’hui 3 métiers principaux que son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t le Ciment, le Béton Prêt à l’Emploi (BPE) et les Granulats, ainsi que des activités complémentaires à ces métiers de base. Le groupe cimentier emploie près de 9 500 personnes et a réalisé un chiffre </w:t>
      </w:r>
      <w:r>
        <w:rPr>
          <w:rFonts w:ascii="Century Gothic" w:eastAsia="Century Gothic" w:hAnsi="Century Gothic" w:cs="Century Gothic"/>
          <w:sz w:val="18"/>
          <w:szCs w:val="18"/>
        </w:rPr>
        <w:lastRenderedPageBreak/>
        <w:t>d’affaires consolidé de 3,123 milliards d’euros en 2021</w:t>
      </w:r>
      <w:r>
        <w:rPr>
          <w:rFonts w:ascii="Century Gothic" w:eastAsia="Century Gothic" w:hAnsi="Century Gothic" w:cs="Century Gothic"/>
          <w:sz w:val="18"/>
          <w:szCs w:val="18"/>
        </w:rPr>
        <w:t>. Présent dans 12 pays – France, Suisse, Italie, États-Unis, Turquie, Égypte, Sénégal, Mali, Mauritanie, Kazakhstan, Inde et Brésil – Vicat réalise plus de 60 % de son chiffre d’affaires à l’international.</w:t>
      </w:r>
    </w:p>
    <w:p w14:paraId="1A283DEA" w14:textId="1F3C979D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hyperlink r:id="rId8" w:history="1">
        <w:r w:rsidRPr="00527F0D">
          <w:rPr>
            <w:rStyle w:val="Lienhypertexte"/>
            <w:rFonts w:ascii="Century Gothic" w:eastAsia="Century Gothic" w:hAnsi="Century Gothic" w:cs="Century Gothic"/>
            <w:sz w:val="18"/>
            <w:szCs w:val="18"/>
          </w:rPr>
          <w:t>www.vicat.fr</w:t>
        </w:r>
      </w:hyperlink>
    </w:p>
    <w:p w14:paraId="14DC077D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5817F2D7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À propos de Béton Direct :</w:t>
      </w:r>
    </w:p>
    <w:p w14:paraId="29CC174C" w14:textId="36B3FC2B" w:rsidR="00B158EB" w:rsidRDefault="00527F0D" w:rsidP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Lancée en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avril 2016 et basée à Lyon, Béton Direct est la première plateforme de vente en ligne,</w:t>
      </w:r>
      <w: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spécialisée dans la livraison de bétons et mortiers frais, pour les particuliers.</w:t>
      </w:r>
    </w:p>
    <w:p w14:paraId="15A67563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DF201FA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Contact médias :</w:t>
      </w:r>
    </w:p>
    <w:p w14:paraId="38429156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Monet + Associés pour le groupe Vicat</w:t>
      </w:r>
    </w:p>
    <w:p w14:paraId="6CCE6EF3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Lison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Douvegheant</w:t>
      </w:r>
      <w:proofErr w:type="spellEnd"/>
    </w:p>
    <w:p w14:paraId="468350E5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Tél. 0</w:t>
      </w:r>
      <w:r>
        <w:rPr>
          <w:rFonts w:ascii="Century Gothic" w:eastAsia="Century Gothic" w:hAnsi="Century Gothic" w:cs="Century Gothic"/>
          <w:sz w:val="18"/>
          <w:szCs w:val="18"/>
        </w:rPr>
        <w:t>4 78 37 34 64</w:t>
      </w:r>
    </w:p>
    <w:p w14:paraId="36C33B55" w14:textId="77777777" w:rsidR="00B158EB" w:rsidRDefault="00527F0D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</w:rPr>
      </w:pPr>
      <w:hyperlink r:id="rId9">
        <w:r>
          <w:rPr>
            <w:rFonts w:ascii="Century Gothic" w:eastAsia="Century Gothic" w:hAnsi="Century Gothic" w:cs="Century Gothic"/>
            <w:color w:val="0563C1"/>
            <w:sz w:val="18"/>
            <w:szCs w:val="18"/>
            <w:u w:val="single"/>
          </w:rPr>
          <w:t>ld@monet-rp.com</w:t>
        </w:r>
      </w:hyperlink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7AC7F30F" w14:textId="77777777" w:rsidR="00B158EB" w:rsidRDefault="00B158EB">
      <w:pPr>
        <w:spacing w:after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B158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EB"/>
    <w:rsid w:val="00527F0D"/>
    <w:rsid w:val="00B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D806C"/>
  <w15:docId w15:val="{3A6248D3-AACD-F14A-B490-6C20C55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4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D31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5B19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B5B1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572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72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72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2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2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2E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94D69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6726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C4CD8"/>
    <w:rPr>
      <w:i/>
      <w:iCs/>
    </w:rPr>
  </w:style>
  <w:style w:type="character" w:customStyle="1" w:styleId="charoverride-89">
    <w:name w:val="charoverride-89"/>
    <w:basedOn w:val="Policepardfaut"/>
    <w:rsid w:val="004F55F2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541D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B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89A"/>
  </w:style>
  <w:style w:type="paragraph" w:styleId="Pieddepage">
    <w:name w:val="footer"/>
    <w:basedOn w:val="Normal"/>
    <w:link w:val="PieddepageCar"/>
    <w:uiPriority w:val="99"/>
    <w:unhideWhenUsed/>
    <w:rsid w:val="0005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89A"/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527F0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at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tondirect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d@monet-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Pmf518IVMI3c/SdQPoJRphMXQ==">AMUW2mUoufKP1GCpeLJUiLr11dlHDjujsVGiOtlG09wHGBI6KijkTZEH6BPPku0GXmlnNP3tA3OOBEQaH4wxmGUb4eSDafReX36jy0YRc7GcWBpz37f0DTc=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Taylor</dc:creator>
  <cp:lastModifiedBy>Lison Douvegheant</cp:lastModifiedBy>
  <cp:revision>2</cp:revision>
  <dcterms:created xsi:type="dcterms:W3CDTF">2022-02-16T16:08:00Z</dcterms:created>
  <dcterms:modified xsi:type="dcterms:W3CDTF">2022-02-17T09:34:00Z</dcterms:modified>
</cp:coreProperties>
</file>